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23" w:rsidRDefault="00026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REFERÊNCIA N° 6/2020</w:t>
      </w:r>
    </w:p>
    <w:p w:rsidR="00026423" w:rsidRDefault="0002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AQUISIÇÃO DE EQUIPAMENTOS DE INFORMÁTICA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 – DESCRIÇÃO DO OBJETO DA COMPRA DE EQUIPAMENTOS DE INFORMÁTICA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Aquisição de equipamentos de informática para a Câmara Municipal de Domingos Martins, conforme condições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especificações do presente Termo de Referência.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 – DO OBJETIVO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presente Termo de Referência tem objetivo de orientar o processo de licitação de aquisição dos equipamentos de informática com respaldo nas Leis nº 8.666, de 21 de junho de 1993 e nº 10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.520, de 17 de junho de 2002.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investimentos garantirão a modernização dos serviços e segurança dos equipamentos.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 – JUSTIFICATIVA DA COMPRA DE EQUIPAMENTOS DE INFORMÁTICA</w:t>
      </w:r>
      <w:proofErr w:type="gramEnd"/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equipamentos de informática são de relevante necessidade para o eficiente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funcionamento dos serviços administrativos e garantia de infraestrutura da rede de computadores.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Atualmente, vários microcomputadores e outros equipamentos de informática da Câmara estão obsoletos dificultando a operacionalização dos serviços e comprometendo a segurança dos dados. </w:t>
      </w: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Prover a administração de recursos tecnológicos é garantir entre outr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resultados positivos, tais como melhor produtividade, economicidade, celeridade, nos procedimentos e processos.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4 – DAS ESPECIFICAÇÕES E QUANTIDADE DOS EQUIPAMENTOS A SEREM COMPRADOS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9287" w:type="dxa"/>
        <w:jc w:val="center"/>
        <w:tblLook w:val="04A0" w:firstRow="1" w:lastRow="0" w:firstColumn="1" w:lastColumn="0" w:noHBand="0" w:noVBand="1"/>
      </w:tblPr>
      <w:tblGrid>
        <w:gridCol w:w="857"/>
        <w:gridCol w:w="6569"/>
        <w:gridCol w:w="1861"/>
      </w:tblGrid>
      <w:tr w:rsidR="00026423">
        <w:trPr>
          <w:jc w:val="center"/>
        </w:trPr>
        <w:tc>
          <w:tcPr>
            <w:tcW w:w="855" w:type="dxa"/>
            <w:shd w:val="clear" w:color="auto" w:fill="auto"/>
          </w:tcPr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861" w:type="dxa"/>
            <w:shd w:val="clear" w:color="auto" w:fill="auto"/>
          </w:tcPr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t-BR"/>
              </w:rPr>
              <w:t>Quantidade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Computador completo 17,8Gb,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01Tb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 9ª Geração</w:t>
            </w:r>
          </w:p>
          <w:p w:rsidR="00026423" w:rsidRDefault="00A22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Processador: Intel® Core™ i7-9700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GHz até 4.7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Ghz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, cache de 12MB,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octa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-core, 9ª Geração) ou similar</w:t>
            </w:r>
          </w:p>
          <w:p w:rsidR="00026423" w:rsidRDefault="00A22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Sistema operacional: Windows 10 Home Single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, de 64 bits – em português (Brasil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)</w:t>
            </w:r>
            <w:proofErr w:type="gramEnd"/>
          </w:p>
          <w:p w:rsidR="00026423" w:rsidRDefault="00A22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Placa de vídeo: placa de vídeo integrada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Intel® UHD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Graphics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630</w:t>
            </w:r>
          </w:p>
          <w:p w:rsidR="00026423" w:rsidRDefault="00A22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Armazenamento: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HD de 1TB</w:t>
            </w:r>
          </w:p>
          <w:p w:rsidR="00026423" w:rsidRDefault="00A22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Memoria RAM: Memória de 8GB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1x8GB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), DDR4, 2666MHz Wireless</w:t>
            </w:r>
          </w:p>
          <w:p w:rsidR="00026423" w:rsidRDefault="00A22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pt-BR"/>
              </w:rPr>
              <w:t>Dell Wireless 1707 Card 802.11 BGN + Bluetooth 4.0 1x1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</w:p>
          <w:p w:rsidR="00026423" w:rsidRDefault="00A22CA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Teclado multimídia Dell KB216 preto - em Português (Brasil),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ABNT2</w:t>
            </w:r>
            <w:proofErr w:type="gramEnd"/>
          </w:p>
          <w:p w:rsidR="00026423" w:rsidRDefault="00A22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Mouse preto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 fio Dell MS116</w:t>
            </w:r>
          </w:p>
          <w:p w:rsidR="00026423" w:rsidRDefault="00A22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Monitor de 21,5”</w:t>
            </w:r>
            <w:proofErr w:type="gramEnd"/>
          </w:p>
          <w:p w:rsidR="00026423" w:rsidRDefault="00A22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Marca: Dell ou similar</w:t>
            </w:r>
          </w:p>
          <w:p w:rsidR="00026423" w:rsidRDefault="00A22CAD">
            <w:pPr>
              <w:shd w:val="clear" w:color="auto" w:fill="FFFFFF"/>
              <w:spacing w:after="0" w:line="240" w:lineRule="auto"/>
            </w:pPr>
            <w:r w:rsidRPr="00A2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 w:rsidRPr="00A2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Pacote Office – </w:t>
            </w:r>
            <w:proofErr w:type="spellStart"/>
            <w:r w:rsidRPr="00A2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Mocrosoft</w:t>
            </w:r>
            <w:proofErr w:type="spellEnd"/>
            <w:r w:rsidRPr="00A2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365 Business Standard – Assinatura de </w:t>
            </w:r>
            <w:proofErr w:type="gramStart"/>
            <w:r w:rsidRPr="00A2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proofErr w:type="gramEnd"/>
            <w:r w:rsidRPr="00A2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ano.</w:t>
            </w:r>
          </w:p>
          <w:p w:rsidR="00026423" w:rsidRPr="00A22CAD" w:rsidRDefault="00A22C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Garantia de 12 meses</w:t>
            </w:r>
          </w:p>
          <w:p w:rsidR="00026423" w:rsidRDefault="00026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Computador para Ilha de Edição de Vídeo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Sugestão: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t-BR"/>
              </w:rPr>
              <w:t xml:space="preserve">Workstation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t-BR"/>
              </w:rPr>
              <w:t>Precision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pt-BR"/>
              </w:rPr>
              <w:t xml:space="preserve"> 3630</w:t>
            </w:r>
          </w:p>
          <w:p w:rsidR="00026423" w:rsidRDefault="00026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Processador: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CPU Intel® da 9ª Geração ou mais recente – ou AMD equivalente.</w:t>
            </w:r>
          </w:p>
          <w:p w:rsidR="00026423" w:rsidRDefault="00026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t-BR"/>
              </w:rPr>
              <w:t>Sugestão: Intel Xeon E-2246G: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Core, 12MB Cache, 3.6Ghz, 4.8Ghz Turbo w/UHD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Graphics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 630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Número de Núcleos: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threads: 12.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Frequência baseada em processador: 3.60 GHz. 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Frequência turbo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4.80 GHz. 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Cache: 12 MB. 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TDP: 80 W.</w:t>
            </w:r>
          </w:p>
          <w:p w:rsidR="00026423" w:rsidRDefault="00A22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Tamanho máximo de memória (de acordo com o tipo de memória): 128 GB.</w:t>
            </w:r>
          </w:p>
          <w:p w:rsidR="00026423" w:rsidRDefault="00A22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Tipos de memória: DDR4-2666.</w:t>
            </w:r>
          </w:p>
          <w:p w:rsidR="00026423" w:rsidRDefault="00A22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Nº máximo de canais de memória: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>.</w:t>
            </w:r>
          </w:p>
          <w:p w:rsidR="00026423" w:rsidRDefault="00A22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  <w:t xml:space="preserve">Com compatibilidade com memória ECC. 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Frequência da base gráfica: 350 MHz.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Máxima frequência dinâmica da placa gráfica: 1.20 GHz.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Quantidade máxima de memória gráfica de vídeo: 128 GB.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Suporte para 4K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60Hz</w:t>
            </w:r>
            <w:proofErr w:type="gramEnd"/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Resolução máxima (HDMI 1.4)‡: 4096x216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0@24Hz.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Resolução máxima (DP)‡: 4096x2304@60Hz.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Resolução máxima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tela plana integrada)‡: 4096x2304@60Hz.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Suporte para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DirectX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12.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Suporte para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OpenGL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4.5.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Nº de monitores aceitos: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Conjunto de instruções: 64 Bits.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 tecnologias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monitoramento térmico.</w:t>
            </w:r>
          </w:p>
          <w:p w:rsidR="00026423" w:rsidRDefault="00026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Sistema Operacional: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Windows 10 Pro for Workstations (mais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núcleos), português (Brasil).</w:t>
            </w:r>
          </w:p>
          <w:p w:rsidR="00026423" w:rsidRDefault="00026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spacing w:after="0" w:line="240" w:lineRule="auto"/>
              <w:jc w:val="both"/>
            </w:pPr>
            <w:r w:rsidRPr="00A22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 w:rsidRPr="00A2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Pacote Office – Microsoft 365 Business Standard – Assinatura de </w:t>
            </w:r>
            <w:proofErr w:type="gramStart"/>
            <w:r w:rsidRPr="00A2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1</w:t>
            </w:r>
            <w:proofErr w:type="gramEnd"/>
            <w:r w:rsidRPr="00A22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ano.</w:t>
            </w:r>
          </w:p>
          <w:p w:rsidR="00026423" w:rsidRPr="00A22CAD" w:rsidRDefault="00026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Placa de vídeo: 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t-BR"/>
              </w:rPr>
              <w:t>Sugestão: Nvidia Quadro P2200 5GB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Memória da GPU: 5GB GDDR5X.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 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Interface de Memória: 160-bit.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Largura de Banda da Memória: Até 200 GB/s.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Interface do Sistema: PCI Express 3.0 x16. 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Consumo Máximo: 75 W.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Formato e medidas: 4.4”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H x 7.9” L, Single Slot.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Conexões: 4x DP 1.4.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Conexões Simultâneas: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diretas, 4 DP 1.4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Multi-Stream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Resoluções de Display: 4x 4096x2160 @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120Hz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4x 5120x2880 @ 60Hz.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APIs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Gráficas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Shader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Model 5.1, OpenGL 4.63, DirectX 12.04,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Vulkan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1.13.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Computacionais: CUDA,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DirectCompute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OpenCL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™.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Quatro conectores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DisplayPort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1.4 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DisplayPort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Suporte a HDCP 2.2.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Suporte as tecnologias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Iray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MentalRay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Memória RAM: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32 GB (2x16 GB), DDR4, 2.666 MHz, memória ECC.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Disco rígido: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Unidade de disco rígido SATA de 3,5"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2 TB e 7.200 RPM.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Disco sólido: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Unidade de estado sólido SATA de 512GB 2,5"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classe 20.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Unidade de disco: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Unidade de disco óptica DVD+/-RW 8x de 9,5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mm.</w:t>
            </w:r>
            <w:proofErr w:type="spellEnd"/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Periféricos: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Mouse, Teclado e Tela HD 1920x1080.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Dimensões e peso: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Altura: 335 mm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13,18"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), 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rgura: 176,6 mm (6,95"), Profundidade: 345 mm (13,58"), Peso: 8,39 kg (18,5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Garantia de 12 meses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01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Cartão SD 64GB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Classe: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Interface: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UHS-I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Capacidade: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64GB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Velocidade de Leitura: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até 170MB/s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Velocidade de Gravação: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até 90MB/s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Fator de Forma: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SD/SDXC </w:t>
            </w:r>
          </w:p>
          <w:p w:rsidR="00026423" w:rsidRDefault="00026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Kit Iluminador LED + bateria + carregador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LED: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 Bulbos/Lâmpadas de LED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Potenciômetro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Dimmer</w:t>
            </w:r>
            <w:proofErr w:type="spellEnd"/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Indicador de energia da bateria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Entrada de sapata para Integrar outros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mesma família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Temperatura de Cor: 5600K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daylight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Compatível com pilhas AA ou baterias LP-E6, NIKON EN-EL15, SONY NP-F550/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750/970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026423" w:rsidRDefault="0002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Bateria para LED + Carregador*: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Capacidade: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7800mAh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InfoLITHIUM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 Li-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Potência de saída: 47.5Wh 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Tensão de saída: 7.2v 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*Carregador compatível com a bateria citada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026423" w:rsidRDefault="0002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Canopla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para microfone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Formato: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Cubo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Cor: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Preto/Cinza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Altura(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mm):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Comprimento(mm):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Largura(mm):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Diâmetro Interno(mm):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Aparelhos Compatíveis: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Microfone de Punho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Material: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Borracha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026423" w:rsidRDefault="0002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02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06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Bateria Recarregável compatível com Câmera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Fotográfica Nikon D3200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Compatível com Nikon D3200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Composição: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Íons de Lítio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Lithium-Ion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Recarregável 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Amperagem: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1230mAh 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Voltagem: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7.2V DC </w:t>
            </w:r>
          </w:p>
          <w:p w:rsidR="00026423" w:rsidRDefault="0002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Kit de manutenção e limpeza</w:t>
            </w:r>
          </w:p>
          <w:p w:rsidR="00026423" w:rsidRDefault="00A2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01 Caneta de limpeza de lentes com solução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01 Bomba de Ar Jumbo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01 Escova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Sopro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01 Solução Especial em Spray para limpeza de Lentes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01 Flanela de Microfibra para equipamentos ópticos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:rsidR="00026423" w:rsidRDefault="0002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Impressora Multifuncional P/B com scanner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 Tecnologia de impressão: Laser;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Velocidade de impressão: em preto e branco: até 26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saída da primeira página em preto e branco: 8,5s;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 Resolução de impressão: até 600 x 600 x 2dpi;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 Resolução de digitalização óptica: até 1200 x 1200dpi;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 Tipo de digitalização: de mesa, ADF;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 Resolução de cópia (imagem em preto e branco): até 1200 x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00dpi; máx. cópias: até 99 cópias.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 Resolução de fax (em preto e branco): 203 x 196dpi; discagem rápida de fax, máx. números: 120 números.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Interface de comunicação: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porta USB 2.0 de alta velocidade, 1 porta de rede Ethernet 10/100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Ciclo de serviço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(mensal): mínimo 8.000 páginas, opções de impressão em frente e verso: automática (padrão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 Tipo de fonte de alimentação: fonte de alimentação integrada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 Requisito de alimentação: tensão de entrada 110ª 127 VAC (±10%), 50/60 Hz (±2 Hz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proofErr w:type="gramEnd"/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 Consumo de energ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ia: 445 watts durante a impressão, 325 watts durante a cópia, 4,7 watts pronto, 0,2 watt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desligado</w:t>
            </w:r>
            <w:proofErr w:type="gramEnd"/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Consumo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eletricidade típico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(TEC): 1,386 kWh/semana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Diversos: mídia e manual de instalação e operação em português; Deverá ser fornecido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tonner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0.000 páginas originais do fabricante além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tonner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inicial fornecido pelo fabricante; O equipamento deverá ser novo e constar na linha de comercialização do fabricante; Deverá ser apresentado prospecto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com as características técnicas de todos os componen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tes do equipamento ou documento oficial do fabricante,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incluindo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especificação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marca, modelo, e outros elementos que de forma inequívoca identifiquem e comprovem as configurações cotadas, manuais técnicos, folders e demais literaturas técnicas editadas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pelos fabricantes. Serão aceitas cópias das especificações obtidas em sítios dos fabricantes na internet, em que conste o respectivo endereço eletrônico. A escolha do material a ser utilizado fica a critério do proponente; Deverá ser fornecida a documenta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ção técnica original de todos os componentes do hardware;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Cabo de conexão: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deverá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ser fornecido todos os cabos necessários para a ligação, inclusive o de rede; Deverá ser fornecido um Patch Cord certificado de no mínimo 2,5 metros; Deverá ser fornecido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 de Força conforme NBR 14136;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• Garantia: mínima de 12 meses, com assistência técnica on-site; Acobertando todos os componentes que garanta o ciclo mensal recomendado pelo fabricante, tais como: unidade de imagem, rolos,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fusor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exceto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tonner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 w:rsidP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03</w:t>
            </w:r>
            <w:bookmarkStart w:id="0" w:name="_GoBack"/>
            <w:bookmarkEnd w:id="0"/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Impressora Laser, Colorida, Wi-Fi,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110V</w:t>
            </w:r>
            <w:proofErr w:type="gramEnd"/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Especificações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miníma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Manuseio de Papel: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Bandeja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Capacidade para no mínimo 50 folhas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Bandeja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Capacidade para no mínimo 250 folhas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Bandeja Acessória opcional para no mínimo 550 folhas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Impressão Duplex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Automática</w:t>
            </w:r>
          </w:p>
          <w:p w:rsidR="00026423" w:rsidRDefault="00026423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Conectividade: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Conexão LAN Ethernet 10/100/1000 com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IPv4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IPv6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USB 2.0 de alta velocidade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Porta USB para impressão imediata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Servidor de impressão para conectividade de rede sem fio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Bluetooth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Energy (BLE)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Wi-Fi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Direct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para impr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essão por dispositivos móveis</w:t>
            </w:r>
          </w:p>
          <w:p w:rsidR="00026423" w:rsidRDefault="00026423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Recursos do Visor do Painel de Controle: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Painel de Controle da tela de toque colorido</w:t>
            </w:r>
          </w:p>
          <w:p w:rsidR="00026423" w:rsidRDefault="00026423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Recursos de Impressão: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Imprime no mínimo 27 páginas por minuto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ppm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 em papel A4 e no mínimo 28 páginas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em papel de tamanho Carta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Impressão de fácil acesso USB (não é necessário um computador)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Armazenamento de trabalho e impressão particular (Requer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um pen drive de 16 GB ou superior)</w:t>
            </w:r>
          </w:p>
          <w:p w:rsidR="00026423" w:rsidRDefault="00026423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Requisitos de Energia: Modelo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110V</w:t>
            </w:r>
            <w:proofErr w:type="gramEnd"/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100 a 127 volts (+/- 10%)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50/60 Hz (± 3 Hz)</w:t>
            </w:r>
          </w:p>
          <w:p w:rsidR="00026423" w:rsidRDefault="00026423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Requisitos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ínimos de Sistema: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Windows 10, 8.1, 8, 7: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32 bits ou 64 bits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2 GB de espaço disponível no disco rígido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Microsoft Internet Explorer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Conexão de Internet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Porta USB</w:t>
            </w:r>
          </w:p>
          <w:p w:rsidR="00026423" w:rsidRDefault="00026423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macOS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Mojave v10.14,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High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Sierra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v10.13,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Sierra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v10.12: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2 GB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espaço disponível no disco rígido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Conexão de Internet</w:t>
            </w:r>
          </w:p>
          <w:p w:rsidR="00026423" w:rsidRDefault="00026423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Conteúdo da Embalagem: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Impressora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4 Toners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pré-instalados (Preto, Ciano, Magenta, Amarelo) 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Guia do Usuário</w:t>
            </w:r>
          </w:p>
          <w:p w:rsidR="00026423" w:rsidRDefault="00026423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Garantia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1 ano de garantia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meses de garantia contratual junto ao fabricante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3 meses referentes à garantia legal, nos termos do artigo 26, II, do Código de Defesa do Consumidor </w:t>
            </w:r>
          </w:p>
          <w:p w:rsidR="00026423" w:rsidRDefault="00026423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01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10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Nobreak 2000VA Senoidal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Especificação mínima: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Aparelho bivolt automático na entrada, com no mínimo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tomadas de 10A, 1 tomada de 20A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borneira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opcional, com baterias seladas tipo VRL internas de primeira linha e à prova de vazamento.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Proteções: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Sub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sobretensão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entrada e saída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Curto-circuito na saída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Descarga total da bateria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Desligamento por carga mínima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Sub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sobrefrequência</w:t>
            </w:r>
            <w:proofErr w:type="spellEnd"/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Sobretemperatura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do inversor e transformador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Sobretemperatura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bateria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Potência mínima de 2000VA/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1400W</w:t>
            </w:r>
            <w:proofErr w:type="gramEnd"/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Bateria de no mínimo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6x7Ah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Selada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Tensão da bateria com no mínimo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72V</w:t>
            </w:r>
            <w:proofErr w:type="gramEnd"/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Dimensões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 x L x A) mínima de 505 x 191 x 240mm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Garantia de 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mínimo 12 (doze) meses, para todos componentes e peças, on-site (no local de entrega dos equipamentos).</w:t>
            </w:r>
          </w:p>
          <w:p w:rsidR="00026423" w:rsidRDefault="00A2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Assistência Técnica Autorizada, credenciada ou disponibilizada no Estado do Espírito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 comprovada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através de declaração do fabricante ou link do sit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 do mesmo. </w:t>
            </w:r>
          </w:p>
          <w:p w:rsidR="00026423" w:rsidRDefault="00026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04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11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Nobreak 700VA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Especificação mínima: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 Dados de Entrada e Saída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Potência mínima de 700VA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 Watts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Forma de onda Senoidal por aproximação (retangular PWM);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Tensão nominal de ENTRADA: Bivolt automático 120 / 95 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(mínimo);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Frequência de rede de ENTRADA: 60 Hz;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 Dados de Saída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 Tensão nominal de SAÍDA: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115V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Frequência de SAÍDA: 60hz ± 1% (para operação bateria);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Mínimo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tomadas padrão NBR 14136.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 Características Gerais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Microprocessado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Filtro de linha;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Estabilizador interno com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estágios de regulação;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Função que possibilite ligar o nobreak mesmo na ausência de rede elétrica;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Autodiagnóstico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bateria;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Recarga automática das baterias mesmo com o nobreak desligado;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Função que possibilita a recarg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das baterias mesmo com níveis muito baixos de carga;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Conector de módulo de bateria externo ao nobreak;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Função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RMS;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Autoteste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ao ser ligado, o nobreak testa os circuitos internos;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Inversor sincronizado com a rede (sistema PLL);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Circuito 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smagnetizador;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Acionamento do inversor &lt; 0,8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Mínimo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Led indicativo no painel frontal;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Alarme audiovisual sinalizando os eventos;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Botão liga/desliga temporizado com função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Rendimento 95% (para operação rede) e 85% (para operação bateri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Bateria Interna: Mínimo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bateria 12Vdc / 7Ah.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 Proteções Elétricas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 Curto-circuito no inversor;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Surtos de tensão entre fase e neutro; 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Sub/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sobretensão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da rede elétrica;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Sobreaquecimento no inversor e no transformador;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Potencia excedida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 alarme e posterior desligamento;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Descarga total das baterias.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5. Garantia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Garantia de no mínimo 12 (doze) meses, para todos componentes e peças, on-site (no local de entrega dos equipamentos);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Assistência Técnica Autorizada, credenciada ou disponib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ilizada no Estado do Espírito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 comprovada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através de declaração do fabricante ou link do site do mesmo;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23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Cabo de rede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CAT5e</w:t>
            </w:r>
            <w:proofErr w:type="gramEnd"/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Cabos LAN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Condutor de cobre nu, coberto por polietileno adequado. Os condutores são trançados em pares. Capa externa em material não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propagante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 chama. Cor azul. 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100 metros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Conector RJ45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Categoria 5e U/UTP;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Corpo em termoplástico de alto impacto não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propagante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à chama;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 xml:space="preserve">Vias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contato produzidas em bronze fosforoso com camadas de 2,54 micrômetros de níquel e 1,27 micrômetros de ouro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Compatível com os padrões de montagem T568A e T568B;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ab/>
              <w:t>Contatos adequados para condutores sólidos ou flexíveis;</w:t>
            </w:r>
          </w:p>
          <w:p w:rsidR="00026423" w:rsidRDefault="00A22CAD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duto que atende políticas de respeito ao meio ambiente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HS).</w:t>
            </w:r>
          </w:p>
          <w:p w:rsidR="00026423" w:rsidRDefault="00026423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100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571" w:type="dxa"/>
            <w:shd w:val="clear" w:color="auto" w:fill="auto"/>
          </w:tcPr>
          <w:p w:rsidR="00026423" w:rsidRDefault="00A22CAD">
            <w:pPr>
              <w:pStyle w:val="Ttulo1"/>
              <w:spacing w:beforeAutospacing="0" w:after="0" w:afterAutospacing="0"/>
              <w:jc w:val="both"/>
              <w:outlineLvl w:val="0"/>
              <w:rPr>
                <w:bCs w:val="0"/>
                <w:iCs/>
                <w:sz w:val="24"/>
                <w:szCs w:val="24"/>
              </w:rPr>
            </w:pPr>
            <w:r>
              <w:rPr>
                <w:bCs w:val="0"/>
                <w:iCs/>
                <w:sz w:val="24"/>
                <w:szCs w:val="24"/>
              </w:rPr>
              <w:t>Fixador para Cabo de Rede</w:t>
            </w:r>
          </w:p>
          <w:p w:rsidR="00026423" w:rsidRDefault="00A22CAD">
            <w:pPr>
              <w:pStyle w:val="Ttulo1"/>
              <w:spacing w:beforeAutospacing="0" w:after="0" w:afterAutospacing="0"/>
              <w:jc w:val="both"/>
              <w:outlineLvl w:val="0"/>
              <w:rPr>
                <w:b w:val="0"/>
                <w:bCs w:val="0"/>
                <w:iCs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iCs/>
                <w:sz w:val="24"/>
                <w:szCs w:val="24"/>
              </w:rPr>
              <w:t>Miguelão</w:t>
            </w:r>
            <w:proofErr w:type="spellEnd"/>
            <w:r>
              <w:rPr>
                <w:b w:val="0"/>
                <w:bCs w:val="0"/>
                <w:iCs/>
                <w:sz w:val="24"/>
                <w:szCs w:val="24"/>
              </w:rPr>
              <w:t xml:space="preserve"> Fixa Fio P/Cabo Coaxial </w:t>
            </w:r>
            <w:proofErr w:type="gramStart"/>
            <w:r>
              <w:rPr>
                <w:b w:val="0"/>
                <w:bCs w:val="0"/>
                <w:iCs/>
                <w:sz w:val="24"/>
                <w:szCs w:val="24"/>
              </w:rPr>
              <w:t>8MM</w:t>
            </w:r>
            <w:proofErr w:type="gramEnd"/>
            <w:r>
              <w:rPr>
                <w:b w:val="0"/>
                <w:bCs w:val="0"/>
                <w:iCs/>
                <w:sz w:val="24"/>
                <w:szCs w:val="24"/>
              </w:rPr>
              <w:t xml:space="preserve"> C/Prego 100 – BRANCO </w:t>
            </w:r>
          </w:p>
          <w:p w:rsidR="00026423" w:rsidRDefault="00026423">
            <w:pPr>
              <w:pStyle w:val="Ttulo1"/>
              <w:spacing w:beforeAutospacing="0" w:after="0" w:afterAutospacing="0"/>
              <w:jc w:val="both"/>
              <w:outlineLvl w:val="0"/>
              <w:rPr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100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Fixador Para Fio Duplo 10x12 branco</w:t>
            </w:r>
          </w:p>
          <w:p w:rsidR="00026423" w:rsidRDefault="00026423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100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026423" w:rsidRDefault="00026423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Organizador Fios 9,5</w:t>
            </w:r>
            <w:proofErr w:type="gramEnd"/>
            <w:r>
              <w:rPr>
                <w:sz w:val="24"/>
                <w:szCs w:val="24"/>
              </w:rPr>
              <w:t>mm preto</w:t>
            </w:r>
          </w:p>
          <w:p w:rsidR="00026423" w:rsidRDefault="00026423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</w:p>
          <w:p w:rsidR="00026423" w:rsidRDefault="00026423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100 metros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Mouse </w:t>
            </w:r>
            <w:proofErr w:type="spellStart"/>
            <w:r>
              <w:rPr>
                <w:sz w:val="24"/>
                <w:szCs w:val="24"/>
              </w:rPr>
              <w:t>Pad</w:t>
            </w:r>
            <w:proofErr w:type="spellEnd"/>
          </w:p>
          <w:p w:rsidR="00026423" w:rsidRDefault="00A22C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 Apoio Ergonômico Base Emborrachada</w:t>
            </w:r>
          </w:p>
          <w:p w:rsidR="00026423" w:rsidRDefault="00A22C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Medidas mínimas: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Comprimento 23,5cm, Largura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18cm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Espessura 1,5cm</w:t>
            </w:r>
          </w:p>
          <w:p w:rsidR="00026423" w:rsidRDefault="00A22C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Materiais: Tecido + Espuma + Base em PVC</w:t>
            </w:r>
          </w:p>
          <w:p w:rsidR="00026423" w:rsidRDefault="00A22C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Antiderrapante</w:t>
            </w:r>
          </w:p>
          <w:p w:rsidR="00026423" w:rsidRDefault="00A22C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de pulso</w:t>
            </w:r>
          </w:p>
          <w:p w:rsidR="00026423" w:rsidRDefault="0002642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40</w:t>
            </w:r>
          </w:p>
        </w:tc>
      </w:tr>
      <w:tr w:rsidR="00026423">
        <w:trPr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Pendrive</w:t>
            </w:r>
            <w:proofErr w:type="spell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Especificação mínima</w:t>
            </w:r>
          </w:p>
          <w:p w:rsidR="00026423" w:rsidRDefault="00A22CAD">
            <w:pPr>
              <w:pStyle w:val="Ttulo2"/>
              <w:shd w:val="clear" w:color="auto" w:fill="FFFFFF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Cor: Vermelho/Preto ou preto</w:t>
            </w:r>
          </w:p>
          <w:p w:rsidR="00026423" w:rsidRDefault="00A22C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Capacidade de armazenamento: 64GB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Conector: </w:t>
            </w:r>
            <w:r>
              <w:rPr>
                <w:b w:val="0"/>
                <w:sz w:val="24"/>
                <w:szCs w:val="24"/>
              </w:rPr>
              <w:t>USB 2.0</w:t>
            </w:r>
          </w:p>
          <w:p w:rsidR="00026423" w:rsidRDefault="00026423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</w:tr>
      <w:tr w:rsidR="00026423">
        <w:trPr>
          <w:trHeight w:val="133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 Externo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Especificação mínima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Capacidade de armazenamento 2TB; 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Velocidade de transferência de dados: USB 3.0;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Requisitos do sistema: Sistema operacional Windows </w:t>
            </w:r>
            <w:proofErr w:type="gramStart"/>
            <w:r>
              <w:rPr>
                <w:b w:val="0"/>
                <w:sz w:val="24"/>
                <w:szCs w:val="24"/>
              </w:rPr>
              <w:t>8</w:t>
            </w:r>
            <w:proofErr w:type="gramEnd"/>
            <w:r>
              <w:rPr>
                <w:b w:val="0"/>
                <w:sz w:val="24"/>
                <w:szCs w:val="24"/>
              </w:rPr>
              <w:t xml:space="preserve">, Windows 10, Windows Vista, </w:t>
            </w:r>
            <w:r>
              <w:rPr>
                <w:b w:val="0"/>
                <w:sz w:val="24"/>
                <w:szCs w:val="24"/>
              </w:rPr>
              <w:t>Windows XP SP3 (32 bits e 64 bits)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Garantia do fornecedor: 12 meses</w:t>
            </w:r>
          </w:p>
          <w:p w:rsidR="00026423" w:rsidRDefault="00026423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</w:tr>
      <w:tr w:rsidR="00026423">
        <w:trPr>
          <w:trHeight w:val="133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sem fio com identificador de chamadas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Especificação mínima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Identificador de chamadas DTMF e FSK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Display alfanumérico, não </w:t>
            </w:r>
            <w:proofErr w:type="gramStart"/>
            <w:r>
              <w:rPr>
                <w:b w:val="0"/>
                <w:sz w:val="24"/>
                <w:szCs w:val="24"/>
              </w:rPr>
              <w:t>luminoso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Capacidade para até </w:t>
            </w:r>
            <w:proofErr w:type="gramStart"/>
            <w:r>
              <w:rPr>
                <w:b w:val="0"/>
                <w:sz w:val="24"/>
                <w:szCs w:val="24"/>
              </w:rPr>
              <w:t>7</w:t>
            </w:r>
            <w:proofErr w:type="gramEnd"/>
            <w:r>
              <w:rPr>
                <w:b w:val="0"/>
                <w:sz w:val="24"/>
                <w:szCs w:val="24"/>
              </w:rPr>
              <w:t xml:space="preserve"> ramais (base</w:t>
            </w:r>
            <w:r>
              <w:rPr>
                <w:b w:val="0"/>
                <w:sz w:val="24"/>
                <w:szCs w:val="24"/>
              </w:rPr>
              <w:t xml:space="preserve"> + 6 ramais)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Agenda para 70 nomes/números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Bloqueio de Teclado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Som de teclado (</w:t>
            </w:r>
            <w:proofErr w:type="spellStart"/>
            <w:r>
              <w:rPr>
                <w:b w:val="0"/>
                <w:sz w:val="24"/>
                <w:szCs w:val="24"/>
              </w:rPr>
              <w:t>on</w:t>
            </w:r>
            <w:proofErr w:type="spellEnd"/>
            <w:r>
              <w:rPr>
                <w:b w:val="0"/>
                <w:sz w:val="24"/>
                <w:szCs w:val="24"/>
              </w:rPr>
              <w:t>/</w:t>
            </w:r>
            <w:proofErr w:type="gramStart"/>
            <w:r>
              <w:rPr>
                <w:b w:val="0"/>
                <w:sz w:val="24"/>
                <w:szCs w:val="24"/>
              </w:rPr>
              <w:t>off</w:t>
            </w:r>
            <w:proofErr w:type="gramEnd"/>
            <w:r>
              <w:rPr>
                <w:b w:val="0"/>
                <w:sz w:val="24"/>
                <w:szCs w:val="24"/>
              </w:rPr>
              <w:t>)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Bloqueio de discagem com uso de senha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Data e hora 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- 4 opções de volume de toque + silencioso (no mínimo)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>
              <w:rPr>
                <w:b w:val="0"/>
                <w:sz w:val="24"/>
                <w:szCs w:val="24"/>
              </w:rPr>
              <w:t>7 tipo</w:t>
            </w:r>
            <w:proofErr w:type="gramEnd"/>
            <w:r>
              <w:rPr>
                <w:b w:val="0"/>
                <w:sz w:val="24"/>
                <w:szCs w:val="24"/>
              </w:rPr>
              <w:t xml:space="preserve"> de toque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proofErr w:type="gramStart"/>
            <w:r>
              <w:rPr>
                <w:b w:val="0"/>
                <w:sz w:val="24"/>
                <w:szCs w:val="24"/>
              </w:rPr>
              <w:t>Menu</w:t>
            </w:r>
            <w:proofErr w:type="gramEnd"/>
            <w:r>
              <w:rPr>
                <w:b w:val="0"/>
                <w:sz w:val="24"/>
                <w:szCs w:val="24"/>
              </w:rPr>
              <w:t xml:space="preserve"> em português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Indicador de </w:t>
            </w:r>
            <w:r>
              <w:rPr>
                <w:b w:val="0"/>
                <w:sz w:val="24"/>
                <w:szCs w:val="24"/>
              </w:rPr>
              <w:t>carga de bateria (ícone no display)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Flash programável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Tom/Pulse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Tecla liga e desliga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LED no fone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- LED na base (carregando e em uso)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Fonte d e alimentação: 7,5V/</w:t>
            </w:r>
            <w:proofErr w:type="gramStart"/>
            <w:r>
              <w:rPr>
                <w:b w:val="0"/>
                <w:sz w:val="24"/>
                <w:szCs w:val="24"/>
              </w:rPr>
              <w:t>300mA</w:t>
            </w:r>
            <w:proofErr w:type="gramEnd"/>
            <w:r>
              <w:rPr>
                <w:b w:val="0"/>
                <w:sz w:val="24"/>
                <w:szCs w:val="24"/>
              </w:rPr>
              <w:t xml:space="preserve"> (no mínimo)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Especificações técnicas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Frequência mínima de 1,9</w:t>
            </w:r>
            <w:proofErr w:type="gramStart"/>
            <w:r>
              <w:rPr>
                <w:b w:val="0"/>
                <w:sz w:val="24"/>
                <w:szCs w:val="24"/>
              </w:rPr>
              <w:t>Ghz</w:t>
            </w:r>
            <w:proofErr w:type="gramEnd"/>
            <w:r>
              <w:rPr>
                <w:b w:val="0"/>
                <w:sz w:val="24"/>
                <w:szCs w:val="24"/>
              </w:rPr>
              <w:t>;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Duração de</w:t>
            </w:r>
            <w:r>
              <w:rPr>
                <w:b w:val="0"/>
                <w:sz w:val="24"/>
                <w:szCs w:val="24"/>
              </w:rPr>
              <w:t xml:space="preserve"> bateria em uso de no mínimo 9 horas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Duração de bateria em repouso de no mínimo 96 horas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Cor preta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Tensão/Voltagem bivolt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Garantia 12 meses contra defeitos de fabricação</w:t>
            </w:r>
          </w:p>
          <w:p w:rsidR="00026423" w:rsidRDefault="00026423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20</w:t>
            </w:r>
          </w:p>
        </w:tc>
      </w:tr>
      <w:tr w:rsidR="00026423">
        <w:trPr>
          <w:trHeight w:val="133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21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Caixas de som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Especificação mínima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 xml:space="preserve">- Potência total de </w:t>
            </w:r>
            <w:proofErr w:type="gramStart"/>
            <w:r>
              <w:t>5</w:t>
            </w:r>
            <w:proofErr w:type="gramEnd"/>
            <w:r>
              <w:t xml:space="preserve"> watts </w:t>
            </w:r>
            <w:proofErr w:type="spellStart"/>
            <w:r>
              <w:t>rms</w:t>
            </w:r>
            <w:proofErr w:type="spellEnd"/>
            <w:r>
              <w:t xml:space="preserve">, </w:t>
            </w:r>
            <w:r>
              <w:t>proporcionando uma boa potência, aliada a uma boa qualidade de som em caixas pequenas de fácil instalação.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>- Caixas compactas, possibilitando serem utilizadas em diversas situações, como ligando o Cabo USB de alimentação de energia em um carregador de celu</w:t>
            </w:r>
            <w:r>
              <w:t>lar e o cabo P2 de áudio na saída de fone de ouvido do celular, além de possibilitar fácil transporte, entre outros benefícios.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 xml:space="preserve">- Caixas interligadas por cabo e os cabos de conexão já são integrados, podendo ser utilizada em qualquer Computador, Notebook, </w:t>
            </w:r>
            <w:r>
              <w:t xml:space="preserve">Celular e qualquer outro aparelho com saída de áudio P2, desde que também ligue o cabo </w:t>
            </w:r>
            <w:proofErr w:type="spellStart"/>
            <w:proofErr w:type="gramStart"/>
            <w:r>
              <w:t>usb</w:t>
            </w:r>
            <w:proofErr w:type="spellEnd"/>
            <w:proofErr w:type="gramEnd"/>
            <w:r>
              <w:t xml:space="preserve"> para que as caixas recebam energia para funcionamento.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 xml:space="preserve">- Alto Falante diâmetro: </w:t>
            </w:r>
            <w:proofErr w:type="gramStart"/>
            <w:r>
              <w:t>2</w:t>
            </w:r>
            <w:proofErr w:type="gramEnd"/>
            <w:r>
              <w:t xml:space="preserve"> polegadas;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 xml:space="preserve">- Potência Total: </w:t>
            </w:r>
            <w:proofErr w:type="gramStart"/>
            <w:r>
              <w:t>5</w:t>
            </w:r>
            <w:proofErr w:type="gramEnd"/>
            <w:r>
              <w:t xml:space="preserve"> Watts </w:t>
            </w:r>
            <w:proofErr w:type="spellStart"/>
            <w:r>
              <w:t>Rms</w:t>
            </w:r>
            <w:proofErr w:type="spellEnd"/>
            <w:r>
              <w:t>, sendo 2,5 watts em cada caixa;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>- Frequênc</w:t>
            </w:r>
            <w:r>
              <w:t xml:space="preserve">ia de resposta: 100 </w:t>
            </w:r>
            <w:proofErr w:type="spellStart"/>
            <w:proofErr w:type="gramStart"/>
            <w:r>
              <w:t>hz</w:t>
            </w:r>
            <w:proofErr w:type="spellEnd"/>
            <w:proofErr w:type="gramEnd"/>
            <w:r>
              <w:t xml:space="preserve"> - 20 </w:t>
            </w:r>
            <w:proofErr w:type="spellStart"/>
            <w:r>
              <w:t>khz</w:t>
            </w:r>
            <w:proofErr w:type="spellEnd"/>
            <w:r>
              <w:t>;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 xml:space="preserve">- Sensibilidade: &gt; 65 </w:t>
            </w:r>
            <w:proofErr w:type="gramStart"/>
            <w:r>
              <w:t>dB</w:t>
            </w:r>
            <w:proofErr w:type="gramEnd"/>
            <w:r>
              <w:t>/mW;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 xml:space="preserve">- Magnético: </w:t>
            </w:r>
            <w:proofErr w:type="gramStart"/>
            <w:r>
              <w:t>4Ohms</w:t>
            </w:r>
            <w:proofErr w:type="gramEnd"/>
            <w:r>
              <w:t>;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>- Comprimento dos Cabos: 75 cm;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 xml:space="preserve">- Alimentação de energia: DC </w:t>
            </w:r>
            <w:proofErr w:type="gramStart"/>
            <w:r>
              <w:t>5V</w:t>
            </w:r>
            <w:proofErr w:type="gramEnd"/>
            <w:r>
              <w:t xml:space="preserve"> através do cabo USB;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>- Interface de áudio: cabo com conexão p2, a mesma conexão de fones de ouvido;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 xml:space="preserve">- Medidas </w:t>
            </w:r>
            <w:r>
              <w:t xml:space="preserve">(cada caixa): </w:t>
            </w:r>
            <w:proofErr w:type="gramStart"/>
            <w:r>
              <w:t>7</w:t>
            </w:r>
            <w:proofErr w:type="gramEnd"/>
            <w:r>
              <w:t xml:space="preserve"> cm de largura x 7 cm de altura x 7 cm de profundidade.</w:t>
            </w:r>
          </w:p>
          <w:p w:rsidR="00026423" w:rsidRDefault="00A22CAD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  <w:r>
              <w:t>Garantia de 12 meses.</w:t>
            </w:r>
          </w:p>
          <w:p w:rsidR="00026423" w:rsidRDefault="00026423">
            <w:pPr>
              <w:pStyle w:val="NormalWeb"/>
              <w:shd w:val="clear" w:color="auto" w:fill="FFFFFF"/>
              <w:spacing w:beforeAutospacing="0" w:after="0" w:line="240" w:lineRule="auto"/>
              <w:jc w:val="both"/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</w:tr>
      <w:tr w:rsidR="00026423">
        <w:trPr>
          <w:trHeight w:val="133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Microfone sem fio duplo 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Características mínimas:</w:t>
            </w:r>
          </w:p>
          <w:p w:rsidR="00026423" w:rsidRDefault="00A22CA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Marca: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Vokal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VLR 502 ou similar</w:t>
            </w:r>
          </w:p>
          <w:p w:rsidR="00026423" w:rsidRDefault="00A22CAD">
            <w:pPr>
              <w:pStyle w:val="ui-pdp-listtext"/>
              <w:numPr>
                <w:ilvl w:val="0"/>
                <w:numId w:val="3"/>
              </w:numPr>
              <w:shd w:val="clear" w:color="auto" w:fill="FFFFFF"/>
              <w:spacing w:beforeAutospacing="0" w:after="0" w:afterAutospacing="0"/>
              <w:ind w:left="0"/>
            </w:pPr>
            <w:r>
              <w:rPr>
                <w:rStyle w:val="ui-pdp-color--black"/>
                <w:bCs/>
              </w:rPr>
              <w:t>Formatos</w:t>
            </w:r>
            <w:r>
              <w:t>: De mão</w:t>
            </w:r>
          </w:p>
          <w:p w:rsidR="00026423" w:rsidRDefault="00A22CAD">
            <w:pPr>
              <w:pStyle w:val="ui-pdp-listtext"/>
              <w:numPr>
                <w:ilvl w:val="0"/>
                <w:numId w:val="3"/>
              </w:numPr>
              <w:shd w:val="clear" w:color="auto" w:fill="FFFFFF"/>
              <w:spacing w:beforeAutospacing="0" w:after="0" w:afterAutospacing="0"/>
              <w:ind w:left="0"/>
            </w:pPr>
            <w:r>
              <w:rPr>
                <w:rStyle w:val="ui-pdp-color--black"/>
                <w:bCs/>
              </w:rPr>
              <w:t>Tipos de microfone</w:t>
            </w:r>
            <w:r>
              <w:t>: Dinâmico</w:t>
            </w:r>
          </w:p>
          <w:p w:rsidR="00026423" w:rsidRDefault="00A22CAD">
            <w:pPr>
              <w:pStyle w:val="ui-pdp-listtext"/>
              <w:numPr>
                <w:ilvl w:val="0"/>
                <w:numId w:val="4"/>
              </w:numPr>
              <w:shd w:val="clear" w:color="auto" w:fill="FFFFFF"/>
              <w:spacing w:beforeAutospacing="0" w:after="0" w:afterAutospacing="0"/>
              <w:ind w:left="0"/>
            </w:pPr>
            <w:r>
              <w:rPr>
                <w:rStyle w:val="ui-pdp-color--black"/>
                <w:bCs/>
              </w:rPr>
              <w:lastRenderedPageBreak/>
              <w:t>Quantidade de microfones</w:t>
            </w:r>
            <w:r>
              <w:t xml:space="preserve">: </w:t>
            </w:r>
            <w:proofErr w:type="gramStart"/>
            <w:r>
              <w:t>2</w:t>
            </w:r>
            <w:proofErr w:type="gramEnd"/>
          </w:p>
          <w:p w:rsidR="00026423" w:rsidRDefault="00A22CAD">
            <w:pPr>
              <w:pStyle w:val="ui-pdp-listtext"/>
              <w:numPr>
                <w:ilvl w:val="0"/>
                <w:numId w:val="4"/>
              </w:numPr>
              <w:shd w:val="clear" w:color="auto" w:fill="FFFFFF"/>
              <w:spacing w:beforeAutospacing="0" w:after="0" w:afterAutospacing="0"/>
              <w:ind w:left="0"/>
            </w:pPr>
            <w:r>
              <w:rPr>
                <w:rStyle w:val="ui-pdp-color--black"/>
                <w:bCs/>
              </w:rPr>
              <w:t>É sem fio</w:t>
            </w:r>
            <w:r>
              <w:t>: Sim</w:t>
            </w:r>
          </w:p>
          <w:p w:rsidR="00026423" w:rsidRDefault="00A22CAD">
            <w:pPr>
              <w:pStyle w:val="ui-pdp-listtext"/>
              <w:numPr>
                <w:ilvl w:val="0"/>
                <w:numId w:val="5"/>
              </w:numPr>
              <w:shd w:val="clear" w:color="auto" w:fill="FFFFFF"/>
              <w:spacing w:beforeAutospacing="0" w:after="0" w:afterAutospacing="0"/>
              <w:ind w:left="0"/>
            </w:pPr>
            <w:r>
              <w:rPr>
                <w:rStyle w:val="ui-pdp-color--black"/>
                <w:bCs/>
              </w:rPr>
              <w:t>Frequência mínima - Frequência máxima</w:t>
            </w:r>
            <w:r>
              <w:t>: 50 Hz - 20 kHz</w:t>
            </w:r>
          </w:p>
          <w:p w:rsidR="00026423" w:rsidRDefault="00A22CAD">
            <w:pPr>
              <w:pStyle w:val="ui-pdp-listtext"/>
              <w:numPr>
                <w:ilvl w:val="0"/>
                <w:numId w:val="5"/>
              </w:numPr>
              <w:shd w:val="clear" w:color="auto" w:fill="FFFFFF"/>
              <w:spacing w:beforeAutospacing="0" w:after="0" w:afterAutospacing="0"/>
              <w:ind w:left="0"/>
            </w:pPr>
            <w:r>
              <w:rPr>
                <w:rStyle w:val="ui-pdp-color--black"/>
                <w:bCs/>
              </w:rPr>
              <w:t>Inclui acessórios</w:t>
            </w:r>
            <w:r>
              <w:t>: Sim</w:t>
            </w:r>
          </w:p>
          <w:p w:rsidR="00026423" w:rsidRDefault="00A22CAD">
            <w:pPr>
              <w:pStyle w:val="ui-pdp-listtext"/>
              <w:numPr>
                <w:ilvl w:val="0"/>
                <w:numId w:val="6"/>
              </w:numPr>
              <w:shd w:val="clear" w:color="auto" w:fill="FFFFFF"/>
              <w:spacing w:beforeAutospacing="0" w:after="0" w:afterAutospacing="0"/>
              <w:ind w:left="0"/>
            </w:pPr>
            <w:r>
              <w:rPr>
                <w:rStyle w:val="ui-pdp-color--black"/>
                <w:bCs/>
              </w:rPr>
              <w:t>Conectores de saída</w:t>
            </w:r>
            <w:r>
              <w:t xml:space="preserve">: </w:t>
            </w:r>
            <w:proofErr w:type="spellStart"/>
            <w:r>
              <w:t>Batería</w:t>
            </w:r>
            <w:proofErr w:type="spellEnd"/>
            <w:r>
              <w:t xml:space="preserve">/XLR </w:t>
            </w:r>
            <w:proofErr w:type="spellStart"/>
            <w:r>
              <w:t>Phanton</w:t>
            </w:r>
            <w:proofErr w:type="spellEnd"/>
          </w:p>
          <w:p w:rsidR="00026423" w:rsidRDefault="00A22CAD">
            <w:pPr>
              <w:pStyle w:val="ui-pdp-listtext"/>
              <w:numPr>
                <w:ilvl w:val="0"/>
                <w:numId w:val="6"/>
              </w:numPr>
              <w:shd w:val="clear" w:color="auto" w:fill="FFFFFF"/>
              <w:spacing w:beforeAutospacing="0" w:after="0" w:afterAutospacing="0"/>
              <w:ind w:left="0"/>
            </w:pPr>
            <w:r>
              <w:rPr>
                <w:rStyle w:val="ui-pdp-color--black"/>
                <w:bCs/>
              </w:rPr>
              <w:t>Sensibilidade</w:t>
            </w:r>
            <w:r>
              <w:t xml:space="preserve">: -60 </w:t>
            </w:r>
            <w:proofErr w:type="gramStart"/>
            <w:r>
              <w:t>dB</w:t>
            </w:r>
            <w:proofErr w:type="gramEnd"/>
          </w:p>
          <w:p w:rsidR="00026423" w:rsidRDefault="00A22CAD">
            <w:pPr>
              <w:pStyle w:val="ui-pdp-listtext"/>
              <w:numPr>
                <w:ilvl w:val="0"/>
                <w:numId w:val="7"/>
              </w:numPr>
              <w:shd w:val="clear" w:color="auto" w:fill="FFFFFF"/>
              <w:spacing w:beforeAutospacing="0" w:after="0" w:afterAutospacing="0"/>
              <w:ind w:left="0"/>
            </w:pPr>
            <w:r>
              <w:rPr>
                <w:rStyle w:val="ui-pdp-color--black"/>
                <w:bCs/>
              </w:rPr>
              <w:t>Impedância</w:t>
            </w:r>
            <w:r>
              <w:t>: 250 Ω</w:t>
            </w:r>
          </w:p>
          <w:p w:rsidR="00026423" w:rsidRDefault="00A22CAD">
            <w:pPr>
              <w:pStyle w:val="ui-pdp-listtext"/>
              <w:numPr>
                <w:ilvl w:val="0"/>
                <w:numId w:val="7"/>
              </w:numPr>
              <w:shd w:val="clear" w:color="auto" w:fill="FFFFFF"/>
              <w:spacing w:beforeAutospacing="0" w:after="0" w:afterAutospacing="0"/>
              <w:ind w:left="0"/>
            </w:pPr>
            <w:r>
              <w:t>Garantia de 12 meses</w:t>
            </w:r>
          </w:p>
          <w:p w:rsidR="00026423" w:rsidRDefault="00026423">
            <w:pPr>
              <w:pStyle w:val="ui-pdp-listtext"/>
              <w:numPr>
                <w:ilvl w:val="0"/>
                <w:numId w:val="7"/>
              </w:numPr>
              <w:shd w:val="clear" w:color="auto" w:fill="FFFFFF"/>
              <w:spacing w:beforeAutospacing="0" w:after="0" w:afterAutospacing="0"/>
              <w:ind w:left="0"/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01</w:t>
            </w:r>
          </w:p>
        </w:tc>
      </w:tr>
      <w:tr w:rsidR="00026423">
        <w:trPr>
          <w:trHeight w:val="133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23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Parafusadeira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12V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Características mínimas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• Bateria </w:t>
            </w:r>
            <w:proofErr w:type="gramStart"/>
            <w:r>
              <w:rPr>
                <w:b w:val="0"/>
                <w:sz w:val="24"/>
                <w:szCs w:val="24"/>
              </w:rPr>
              <w:t>12V</w:t>
            </w:r>
            <w:proofErr w:type="gramEnd"/>
            <w:r>
              <w:rPr>
                <w:b w:val="0"/>
                <w:sz w:val="24"/>
                <w:szCs w:val="24"/>
              </w:rPr>
              <w:t xml:space="preserve"> com longa duração: Maior autonomia para trabalhos mais longos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• Maleta de acessórios: Vários acessórios para atender suas necessidades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• Rotação: 550 RPM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• Torque: 10 </w:t>
            </w:r>
            <w:proofErr w:type="spellStart"/>
            <w:r>
              <w:rPr>
                <w:b w:val="0"/>
                <w:sz w:val="24"/>
                <w:szCs w:val="24"/>
              </w:rPr>
              <w:t>Nm</w:t>
            </w:r>
            <w:proofErr w:type="spell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• Sistema de reversão de rotação, para montagens e </w:t>
            </w:r>
            <w:proofErr w:type="gramStart"/>
            <w:r>
              <w:rPr>
                <w:b w:val="0"/>
                <w:sz w:val="24"/>
                <w:szCs w:val="24"/>
              </w:rPr>
              <w:t>desmontagens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• Mandril de </w:t>
            </w:r>
            <w:r>
              <w:rPr>
                <w:b w:val="0"/>
                <w:sz w:val="24"/>
                <w:szCs w:val="24"/>
              </w:rPr>
              <w:t>aperto rápido 10 mm (</w:t>
            </w:r>
            <w:proofErr w:type="gramStart"/>
            <w:r>
              <w:rPr>
                <w:b w:val="0"/>
                <w:sz w:val="24"/>
                <w:szCs w:val="24"/>
              </w:rPr>
              <w:t>3/8”</w:t>
            </w:r>
            <w:proofErr w:type="gramEnd"/>
            <w:r>
              <w:rPr>
                <w:b w:val="0"/>
                <w:sz w:val="24"/>
                <w:szCs w:val="24"/>
              </w:rPr>
              <w:t>)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• Possui </w:t>
            </w:r>
            <w:proofErr w:type="gramStart"/>
            <w:r>
              <w:rPr>
                <w:b w:val="0"/>
                <w:sz w:val="24"/>
                <w:szCs w:val="24"/>
              </w:rPr>
              <w:t>dois porta-bits</w:t>
            </w:r>
            <w:proofErr w:type="gramEnd"/>
            <w:r>
              <w:rPr>
                <w:b w:val="0"/>
                <w:sz w:val="24"/>
                <w:szCs w:val="24"/>
              </w:rPr>
              <w:t xml:space="preserve"> no corpo da </w:t>
            </w:r>
            <w:proofErr w:type="spellStart"/>
            <w:r>
              <w:rPr>
                <w:b w:val="0"/>
                <w:sz w:val="24"/>
                <w:szCs w:val="24"/>
              </w:rPr>
              <w:t>parafusadeiras</w:t>
            </w:r>
            <w:proofErr w:type="spell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• 16 ajustes de torque + furadeira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• Ajuste eletrônico de velocidade na chave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• Permite o travamento da chave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Aplicações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madeira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plástico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drywall</w:t>
            </w:r>
            <w:proofErr w:type="spellEnd"/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aço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Mandril de ajuste rápido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sim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Reversível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sim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Clipe p/ cinta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não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Botão de trava do eixo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sim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ESPECIFICAÇÕES TÉCNICAS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Potência (W)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Bateria </w:t>
            </w:r>
            <w:proofErr w:type="gramStart"/>
            <w:r>
              <w:rPr>
                <w:b w:val="0"/>
                <w:sz w:val="24"/>
                <w:szCs w:val="24"/>
              </w:rPr>
              <w:t>12V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Torque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 </w:t>
            </w:r>
            <w:proofErr w:type="spellStart"/>
            <w:r>
              <w:rPr>
                <w:b w:val="0"/>
                <w:sz w:val="24"/>
                <w:szCs w:val="24"/>
              </w:rPr>
              <w:t>Nm</w:t>
            </w:r>
            <w:proofErr w:type="spell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Velocidade de rotação s/ carga (</w:t>
            </w:r>
            <w:proofErr w:type="gramStart"/>
            <w:r>
              <w:rPr>
                <w:b w:val="0"/>
                <w:sz w:val="24"/>
                <w:szCs w:val="24"/>
              </w:rPr>
              <w:t>rpm</w:t>
            </w:r>
            <w:proofErr w:type="gramEnd"/>
            <w:r>
              <w:rPr>
                <w:b w:val="0"/>
                <w:sz w:val="24"/>
                <w:szCs w:val="24"/>
              </w:rPr>
              <w:t>)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550 RPM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Tensão/Voltagem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12V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Alimentação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Bateria </w:t>
            </w:r>
            <w:proofErr w:type="gramStart"/>
            <w:r>
              <w:rPr>
                <w:b w:val="0"/>
                <w:sz w:val="24"/>
                <w:szCs w:val="24"/>
              </w:rPr>
              <w:t>12V</w:t>
            </w:r>
            <w:proofErr w:type="gramEnd"/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Comprimento do fio (m)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Sem fio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Mandril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 mm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Cor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Azul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Garantia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ind w:firstLine="419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 meses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Conteúdo da Embalagem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Maleta para transporte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Carregador bivolt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- 4 brocas para madeira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- 4 brocas chatas para madeira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- 12 brocas de aço rápido para metal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- 4 guias de para parafusos sextavados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- 2 guias para parafusos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- 1 prolongador de bits magnético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- 20 bits para parafusar</w:t>
            </w:r>
          </w:p>
          <w:p w:rsidR="00026423" w:rsidRDefault="00A22CAD">
            <w:pPr>
              <w:pStyle w:val="Ttulo1"/>
              <w:shd w:val="clear" w:color="auto" w:fill="FFFFFF"/>
              <w:spacing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Garantia de 12 meses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26423" w:rsidRDefault="00A2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01</w:t>
            </w:r>
          </w:p>
        </w:tc>
      </w:tr>
    </w:tbl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 – FORNECIMENTO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DOS EQUIPAMENTOS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equipamentos adquiridos deverão ser entregues de segunda a sexta-feira de 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13 horas, sem ônus para Contratante, no endereço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Avenida Senador Jefferson de Aguiar, nº 27, Centro, Domingos Martins – ES, CEP 29260-000, devidamente acompanhada de Nota Fiscal Eletrônica.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dia da entrega será agendado com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 Gerente de Almoxarifado e Patrimônio através dos telefones (27) 3268-1413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(27) 3268-1767 ou pelo e-mail compras@camaradomingosmartins.es.gov.br.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Acondicionamento do equipamento deverá ser novo e constar na linha de comercialização do fabricante; Deverá ser apresentado prospecto com as características técnicas de todos os comp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onentes do equipamento ou documento oficial do fabricante, incluindo especificação de marca, modelo, e outros elementos que de forma inequívoca identifiquem e comprovem as configurações cotadas, manuais técnicos, folders e demais literaturas técnicas edita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das pelos fabricantes. Serão aceitas cópias das especificações obtidas em sítios dos fabricantes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Internet, em que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constem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respectivo endereço eletrônico. A escolha do material a ser utilizado fica a critério do proponente; Está documentação será verif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icada na entrega do equipamento e tem por objetivo facilitar o trabalho de comprovação das especificações técnicas dos equipamentos pretendidos. Todos os equipamentos a serem entregues deverão ser idênticos, ou seja, todos os componentes externos e interno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de mesmos modelos e marca conforme informados na Proposta Comercial. Caso o componente não mais se encontra disponível no mercado, admitem-se substitutos com qualidade e características idênticas ou superiores da mesma marca, mediante declaração técnica.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unidades do equipamento deverão ser entregues devidamente acondicionadas em embalagens individuais adequadas, que utilizem preferencialmente materiais recicláveis, de forma a garantir a máxima proteção durante o transporte e a armazenagem; As caracterí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sticas técnicas obrigatórias deverão estar grifadas ou destacadas na documentação entregue junto com a proposta comercial, além de estarem todas relacionadas em tabela específica indicando o número da página da documentação onde encontrar sua comprovação,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forma a garantir uma rápida e melhor análise/vistoria.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DA GARANTIA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Contratada deverá apresentar as garantias específicas para cada equipamento conforme previsto no item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deste TERMO DE REFERÊNCIA.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7 - DO PRAZO DE ENTREGA E CRITÉRIOS DE ACEITA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ÇÃO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entrega dos equipamentos deverá ser feita em até 30 (trinta) dias após a Autorização de Fornecimento e não será admitida prorrogação no prazo.</w:t>
      </w: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equipamentos serão entregues provisoriamente, com o ACEITE PROVISÓRIO emitido pelo Setor de Almoxarifad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 Patrimônio, para efeito de posterior verificação da compatibilidade com as especificações exigidas no Item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entrega definitiva dos equipamentos dar-se-á mediante aceitação do bem adquirido de forma a fazer cumprir rigorosamente os objetos, os praz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 condições expressas neste Termo. </w:t>
      </w: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ACEITE DEFINITIVO ocorrerá no prazo máximo de 10(dez) dias corridos após a entrega provisória e será emitido pelo Servidor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Denilson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 da Costa. </w:t>
      </w: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caso de não aceitação do(s) equipamento(s), fica a Contrat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ada obrigada a retirá-lo(s) e a substitui-lo(s) no prazo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(cinco) dias úteis, contados da notificação a ser expedida pela Contratante, sob pena de incidência das sanções e penalidades previstas no contrato.</w:t>
      </w: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8 – DOS PROCEDIMENTOS E RESPONSABILIDADE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FISCALIZAÇÃO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Os equipamentos serão entregues provisoriamente para posterior fiscalização e emissão do aceite definitivo. A fiscalização será realizada pela CONTRATANTE, pelo Servidor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Denilson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Silva da Costa, que emitirá o Aceite Definitivo de forma a fa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zer cumprir rigorosamente o objeto, os prazos, as cláusulas e as condições expressas no contrato.</w:t>
      </w: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 – DAS OBRIGAÇÕES E RESPONSABILIDADES DA CONTRATADA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Contratada é obrigada a reparar, corrigir, remover, reconstruir ou substituir, às suas expensas, no 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otal ou em parte, o objeto do contrato em que se verificarem vícios, defeitos ou incorreções; A Contratada é responsável pelos danos causados diretamente à administração ou a terceiros, decorrentes de sua culpa ou dolo na execução do contrato, não excluind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ou reduzindo essa responsabilidade a fiscalização ou o acompanhamento pelo Órgão Interessado; A Contratada é responsável pelos encargos trabalhistas, previdenciários, fiscais e comerciais resultantes da execução do contrato;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Contratada deverá manter, durante toda a vigência do contrato, em compatibilidade com as obrigações assumidas, todas as condições de habilitação e qualificação nos termos da legislação em vigência. Entregar os equipamentos em conformidade com as disposiç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ões deste termo e com os termos da proposta de preços; 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Fornecer o objeto deste termo, sem interrupções, durante a vigência da proposta de preço, pelos preços consignados na proposta; Garantir a qualidade do material fornecido, segundo as exigências e norm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legais; 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Fornecer o objeto no prazo máximo de entrega de até 30 (trinta) dias contados a partir do recebimento da Autorização de Fornecimento, que será emitida, pela Gerente de Compras;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transferir a outrem, no todo ou em parte, o objeto do presente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termo; 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Permitir a fiscalização e o acompanhamento da entrega, no que tange aos equipamentos e também no contrato; </w:t>
      </w: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Despesas de frete, alimentação e estadia por conta da contratada;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10 – DAS OBRIGAÇÕES E RESPONSABILIDADES DA CONTRATANTE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Compete ao Contra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tante proporcionar condições que contribuam para a boa entrega dos produtos; Remeter notificação à Contratada, por escrito, quando os produtos não estiverem sendo entregues de forma satisfatória; Fazer cumprir o prazo contratual; Efetuar os pagamentos de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cordo com os prazos e preços estabelecidos no contrato. Obedecer aos ditames estabelecidos no TERMO DE REFERÊNCIA.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11 – DAS PENALIDADES E SANÇÕES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recusa do adjudicatário em assinar o contrato, dentro do prazo estabelecido pela CONTRATANTE, bem como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atraso e a inexecução parcial ou total do objeto licitado, caracterizarão o descumprimento da obrigação assumida e permitirão a aplicação das seguintes sanções pela CONTRATANTE: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 Advertência, que será aplicada sempre por escrito;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– Multas: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 Rescisão unil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ateral do contrato sujeitando-se a CONTRATADA ao pagamento de indenização CONTRATANTE por perdas e danos;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 Suspensão temporária do direito de firmar contratos com a Câmara Municipal de Domingos Martins.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 Indenização á CONTRATANTE da diferença de custo pa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 contratação de outro licitante;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Declaração de inidoneidade para licitar e contratar com a Administração Pública, no prazo não superior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(cinco) anos.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Multa á razão de 0,3% (três décimos por cento) sobre o valor total do objeto em atraso, por dia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atraso no fornecimento.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 Multa de 10% (dez por cento) sobre o valor do contrato ou da parcela, no caso de atraso superior a trinta dias, podendo ainda ser rescindido o contrato e aplicadas outras penalidades.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– O valor máximo das multas não poderá exce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der, cumulativamente, a 10% (dez por cento) do valor do contrato.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sanções previstas neste item poderão ser aplicadas cumulativamente, ou não, de acordo com a gravidade da infração.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Será facultada ampla defesa a CONTRATADA, no prazo de 05 (cinco) dias út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eis a contar da intimação do ato.</w:t>
      </w: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12 – DA FORMA DE PAGAMENTO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pagamento será efetuado em parcela única através de depósito em conta corrente da contratada, no Banco por ela indicado,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constantes no verso da Nota Fiscal Eletrônica até o quinto dia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útil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emissão do aceite definitivo de entrega emitido pelos fiscais do contrato e aprovação da nota fiscal, sem rasuras ou emendas, que deverá ser encaminhada em nome da Câmara Municipal de Domingos Martins, com o fornecimento dos objetos discriminados. Oco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rrendo erros na apresentação do documento fiscal, o mesmo será devolvido a CONTRATADA para correção, ficando estabelecido que o prazo para pagamento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contado a partir da data de apresentação da nova fatura, devidamente corrigida.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pagamento da fatura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somente será feito em carteira ou cobrança simples, sendo expressamente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vedado à Contratada cobrança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desconto de duplicatas através de rede bancária ou de terceiros. A Câmara Municipal poderá deduzir do pagamento importâncias que a qualquer título lhe f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orem devidos pela CONTRATADA, em decorrência de inadimplemento contratual. Para EFETIVAÇÃO DO PAGAMENTO a CONTRATADA deverá apresentar os seguintes documentos: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1. Prova de Regularidade para com a Fazenda Nacional, referente a divida Ativa da União e junto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aos Tributos Federais – Certidão Conjunta;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2. Prova de Regularidade para com a Fazenda Estadual do domicílio ou sede da licitante;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3. Prova de Regularidade para com a Fazenda Municipal do domicílio ou sede da licitante;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4. Prova de Regularidade relativa 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Seguridade Social - INSS;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5. Prova de Regularidade relativa ao Fundo de Garantia por Tempo de Serviço – FGTS;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6. Prova de Regularidade Fiscal e Trabalhista, em cumprimento à Lei n° 12.440/2011 e à Resolução Administrativa TST – Tribunal Superior do Trabal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 n° 1.470/2011;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7. Alvará de Funcionamento / Localização da Empresa;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13 – DOTAÇÃO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ORÇAMENTÁRIA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despesas decorrentes da aquisição destes equipamentos correrão por conta de dotação orçamentária 01001.0103100012.001 – Manutenção dos Serviços Administra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tivos da Câmara Municipal – 33903000000 – Material de Consumo – Ficha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44905200000 -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Equipamento e Material Permanente – Ficha 23, prevista no orçamento para o exercício de 2020.</w:t>
      </w:r>
    </w:p>
    <w:p w:rsidR="00026423" w:rsidRDefault="0002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14 – DO VALOR DA CONTRATAÇÃO E DA ACEITABILIDADE DA PROPOSTA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valor 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eito para a contratação deverá estar compatível com o valor do mercado, estabelecido através de pesquisa de preço e expresso pelo mapa comparativo de preços.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15 – DISPOSIÇÕES GERAIS</w:t>
      </w:r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Qualquer pedido de esclarecimento em relação a eventuais dúvidas na inte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rpretação deste Termo será atendido pela Diretora Geral Administrativa, Legislativa e de Cerimonial de segunda a sexta-feira das 8 h às 13 horas, na Câmara Municipal de Domingos Martins, situada na Avenida Senador Jefferson de Aguiar n° 27, Centro, Domingo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Martins - ES - CEP: 29260-000, ou pelos telefones (27) 3268-1413 e (27) 3268-1767 ou pelo e-mail </w:t>
      </w:r>
      <w:r>
        <w:rPr>
          <w:rFonts w:ascii="Times New Roman" w:eastAsia="Times New Roman" w:hAnsi="Times New Roman" w:cs="Times New Roman"/>
          <w:color w:val="000081"/>
          <w:sz w:val="24"/>
          <w:szCs w:val="24"/>
          <w:lang w:eastAsia="pt-BR"/>
        </w:rPr>
        <w:t>cmdmartins@camaradomingosmartins.es.gov.br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16 – RESPONSÁVEL PELA ELABORAÇÃO DO TERMO DE REFERÊNCIA</w:t>
      </w:r>
      <w:proofErr w:type="gramEnd"/>
    </w:p>
    <w:p w:rsidR="00026423" w:rsidRDefault="00A2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Rosana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Rupf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Penha – Diretora Geral Administrativa,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Legislativa e de Cerimonial, matrícula nº 745.</w:t>
      </w: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Câmara Municipal de Domingos Martins, 17 de junho de 2020.</w:t>
      </w:r>
    </w:p>
    <w:p w:rsidR="00026423" w:rsidRDefault="000264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02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6423" w:rsidRDefault="00A2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ROSANA RUPF DA PENHA</w:t>
      </w:r>
    </w:p>
    <w:p w:rsidR="00026423" w:rsidRDefault="00A2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Diretora Geral Administrativa, Legislativa e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Cerimonial</w:t>
      </w:r>
      <w:proofErr w:type="gramEnd"/>
    </w:p>
    <w:p w:rsidR="00026423" w:rsidRDefault="00A22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nº 745</w:t>
      </w:r>
    </w:p>
    <w:p w:rsidR="00026423" w:rsidRDefault="00026423">
      <w:pPr>
        <w:spacing w:after="0" w:line="240" w:lineRule="auto"/>
      </w:pPr>
    </w:p>
    <w:sectPr w:rsidR="00026423">
      <w:headerReference w:type="default" r:id="rId8"/>
      <w:pgSz w:w="11906" w:h="16838"/>
      <w:pgMar w:top="3969" w:right="1134" w:bottom="851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2CAD">
      <w:pPr>
        <w:spacing w:after="0" w:line="240" w:lineRule="auto"/>
      </w:pPr>
      <w:r>
        <w:separator/>
      </w:r>
    </w:p>
  </w:endnote>
  <w:endnote w:type="continuationSeparator" w:id="0">
    <w:p w:rsidR="00000000" w:rsidRDefault="00A2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2CAD">
      <w:pPr>
        <w:spacing w:after="0" w:line="240" w:lineRule="auto"/>
      </w:pPr>
      <w:r>
        <w:separator/>
      </w:r>
    </w:p>
  </w:footnote>
  <w:footnote w:type="continuationSeparator" w:id="0">
    <w:p w:rsidR="00000000" w:rsidRDefault="00A2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23" w:rsidRDefault="00A22CAD">
    <w:pPr>
      <w:suppressAutoHyphens/>
      <w:spacing w:after="0" w:line="240" w:lineRule="auto"/>
      <w:jc w:val="center"/>
      <w:rPr>
        <w:rFonts w:ascii="Monotype Corsiva" w:eastAsia="Times New Roman" w:hAnsi="Monotype Corsiva" w:cs="Monotype Corsiva"/>
        <w:sz w:val="40"/>
        <w:szCs w:val="24"/>
        <w:lang w:eastAsia="zh-CN"/>
      </w:rPr>
    </w:pPr>
    <w:r>
      <w:rPr>
        <w:noProof/>
        <w:lang w:eastAsia="pt-BR"/>
      </w:rPr>
      <w:drawing>
        <wp:inline distT="0" distB="0" distL="0" distR="0">
          <wp:extent cx="590550" cy="647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5" t="-223" r="-245" b="-223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6423" w:rsidRDefault="00A22CA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Monotype Corsiva" w:eastAsia="Times New Roman" w:hAnsi="Monotype Corsiva" w:cs="Monotype Corsiva"/>
        <w:sz w:val="40"/>
        <w:szCs w:val="24"/>
        <w:lang w:eastAsia="zh-CN"/>
      </w:rPr>
      <w:t>Câmara Municipal de Domingos Martins</w:t>
    </w:r>
  </w:p>
  <w:p w:rsidR="00026423" w:rsidRDefault="00A22CA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>
      <w:rPr>
        <w:rFonts w:ascii="Arial" w:eastAsia="Times New Roman" w:hAnsi="Arial" w:cs="Arial"/>
        <w:sz w:val="24"/>
        <w:szCs w:val="24"/>
        <w:lang w:eastAsia="zh-CN"/>
      </w:rPr>
      <w:t>Estado do Espírito Santo</w:t>
    </w:r>
  </w:p>
  <w:p w:rsidR="00026423" w:rsidRDefault="00A22CA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lang w:eastAsia="zh-CN"/>
      </w:rPr>
    </w:pPr>
    <w:r>
      <w:rPr>
        <w:rFonts w:ascii="Times New Roman" w:eastAsia="Times New Roman" w:hAnsi="Times New Roman" w:cs="Times New Roman"/>
        <w:lang w:eastAsia="zh-CN"/>
      </w:rPr>
      <w:t>Avenida Senador Jefferson de Aguiar, n° 27 – Domingos Martins – ES – CEP: 29260-</w:t>
    </w:r>
    <w:proofErr w:type="gramStart"/>
    <w:r>
      <w:rPr>
        <w:rFonts w:ascii="Times New Roman" w:eastAsia="Times New Roman" w:hAnsi="Times New Roman" w:cs="Times New Roman"/>
        <w:lang w:eastAsia="zh-CN"/>
      </w:rPr>
      <w:t>000</w:t>
    </w:r>
    <w:proofErr w:type="gramEnd"/>
  </w:p>
  <w:p w:rsidR="00026423" w:rsidRDefault="00A22CA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lang w:eastAsia="zh-CN"/>
      </w:rPr>
    </w:pPr>
    <w:r>
      <w:rPr>
        <w:rFonts w:ascii="Times New Roman" w:eastAsia="Times New Roman" w:hAnsi="Times New Roman" w:cs="Times New Roman"/>
        <w:lang w:eastAsia="zh-CN"/>
      </w:rPr>
      <w:t xml:space="preserve">Caixa Postal 47 – Telefones: (27) </w:t>
    </w:r>
    <w:r>
      <w:rPr>
        <w:rFonts w:ascii="Times New Roman" w:eastAsia="Times New Roman" w:hAnsi="Times New Roman" w:cs="Times New Roman"/>
        <w:lang w:eastAsia="zh-CN"/>
      </w:rPr>
      <w:t>3268-1413/3268-1429/3268-1681/3268-1767</w:t>
    </w:r>
  </w:p>
  <w:p w:rsidR="00026423" w:rsidRDefault="00A22CAD">
    <w:pPr>
      <w:suppressAutoHyphens/>
      <w:spacing w:after="0" w:line="240" w:lineRule="auto"/>
      <w:jc w:val="center"/>
    </w:pPr>
    <w:r>
      <w:rPr>
        <w:rFonts w:ascii="Times New Roman" w:eastAsia="Times New Roman" w:hAnsi="Times New Roman" w:cs="Times New Roman"/>
        <w:lang w:eastAsia="zh-CN"/>
      </w:rPr>
      <w:t xml:space="preserve">Site: </w:t>
    </w:r>
    <w:hyperlink r:id="rId2">
      <w:r>
        <w:rPr>
          <w:rStyle w:val="ListLabel119"/>
        </w:rPr>
        <w:t>www.domingosmartins.es.leg.br</w:t>
      </w:r>
    </w:hyperlink>
  </w:p>
  <w:p w:rsidR="00026423" w:rsidRDefault="00A22CAD">
    <w:pPr>
      <w:pStyle w:val="Cabealho"/>
      <w:jc w:val="center"/>
    </w:pPr>
    <w:proofErr w:type="gramStart"/>
    <w:r>
      <w:rPr>
        <w:rFonts w:ascii="Times New Roman" w:eastAsia="Times New Roman" w:hAnsi="Times New Roman" w:cs="Times New Roman"/>
        <w:lang w:eastAsia="zh-CN"/>
      </w:rPr>
      <w:t>e-mail</w:t>
    </w:r>
    <w:proofErr w:type="gramEnd"/>
    <w:r>
      <w:rPr>
        <w:rFonts w:ascii="Times New Roman" w:eastAsia="Times New Roman" w:hAnsi="Times New Roman" w:cs="Times New Roman"/>
        <w:lang w:eastAsia="zh-CN"/>
      </w:rPr>
      <w:t xml:space="preserve">: </w:t>
    </w:r>
    <w:hyperlink r:id="rId3">
      <w:r>
        <w:rPr>
          <w:rStyle w:val="ListLabel119"/>
        </w:rPr>
        <w:t>cmdmartins@camaradomingosmartins.es.gov.br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40"/>
    <w:multiLevelType w:val="multilevel"/>
    <w:tmpl w:val="F566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B641312"/>
    <w:multiLevelType w:val="multilevel"/>
    <w:tmpl w:val="7A16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51E16F78"/>
    <w:multiLevelType w:val="multilevel"/>
    <w:tmpl w:val="20F0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85E5B3A"/>
    <w:multiLevelType w:val="multilevel"/>
    <w:tmpl w:val="F3FC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091686F"/>
    <w:multiLevelType w:val="multilevel"/>
    <w:tmpl w:val="6628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67C668D8"/>
    <w:multiLevelType w:val="multilevel"/>
    <w:tmpl w:val="DE10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A6C6C84"/>
    <w:multiLevelType w:val="multilevel"/>
    <w:tmpl w:val="B7D01A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05E1DE7"/>
    <w:multiLevelType w:val="multilevel"/>
    <w:tmpl w:val="A3A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23"/>
    <w:rsid w:val="00026423"/>
    <w:rsid w:val="00A2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link w:val="Ttulo1Char"/>
    <w:uiPriority w:val="9"/>
    <w:qFormat/>
    <w:rsid w:val="00CD6D7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2C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0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D2000"/>
  </w:style>
  <w:style w:type="character" w:customStyle="1" w:styleId="RodapChar">
    <w:name w:val="Rodapé Char"/>
    <w:basedOn w:val="Fontepargpadro"/>
    <w:link w:val="Rodap"/>
    <w:uiPriority w:val="99"/>
    <w:qFormat/>
    <w:rsid w:val="00AD200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D2000"/>
    <w:rPr>
      <w:rFonts w:ascii="Tahoma" w:eastAsia="Times New Roman" w:hAnsi="Tahoma" w:cs="Tahoma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6E26F7"/>
    <w:rPr>
      <w:b/>
      <w:bCs/>
    </w:rPr>
  </w:style>
  <w:style w:type="character" w:customStyle="1" w:styleId="acc-detailed-desc">
    <w:name w:val="acc-detailed-desc"/>
    <w:basedOn w:val="Fontepargpadro"/>
    <w:qFormat/>
    <w:rsid w:val="006E26F7"/>
  </w:style>
  <w:style w:type="character" w:customStyle="1" w:styleId="Ttulo1Char">
    <w:name w:val="Título 1 Char"/>
    <w:basedOn w:val="Fontepargpadro"/>
    <w:link w:val="Ttulo1"/>
    <w:uiPriority w:val="9"/>
    <w:qFormat/>
    <w:rsid w:val="00CD6D76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91247"/>
    <w:rPr>
      <w:color w:val="0000FF"/>
      <w:u w:val="single"/>
    </w:rPr>
  </w:style>
  <w:style w:type="character" w:customStyle="1" w:styleId="andes-tablecolumn--value">
    <w:name w:val="andes-table__column--value"/>
    <w:basedOn w:val="Fontepargpadro"/>
    <w:qFormat/>
    <w:rsid w:val="00F43FBA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D42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ui-sc-12tokcy-0">
    <w:name w:val="textui-sc-12tokcy-0"/>
    <w:basedOn w:val="Fontepargpadro"/>
    <w:qFormat/>
    <w:rsid w:val="004926AC"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40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i-pdp-color--black">
    <w:name w:val="ui-pdp-color--black"/>
    <w:basedOn w:val="Fontepargpadro"/>
    <w:qFormat/>
    <w:rsid w:val="00CA13F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16"/>
      <w:szCs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16"/>
      <w:szCs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16"/>
      <w:szCs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16"/>
      <w:szCs w:val="16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16"/>
      <w:szCs w:val="16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16"/>
      <w:szCs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sz w:val="16"/>
      <w:szCs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16"/>
      <w:szCs w:val="16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sz w:val="16"/>
      <w:szCs w:val="16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16"/>
      <w:szCs w:val="16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rFonts w:ascii="Times New Roman" w:hAnsi="Times New Roman"/>
      <w:sz w:val="24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rFonts w:ascii="Times New Roman" w:hAnsi="Times New Roman"/>
      <w:sz w:val="24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rFonts w:ascii="Times New Roman" w:eastAsia="Times New Roman" w:hAnsi="Times New Roman" w:cs="Times New Roman"/>
      <w:lang w:eastAsia="zh-CN"/>
    </w:rPr>
  </w:style>
  <w:style w:type="character" w:customStyle="1" w:styleId="ListLabel120">
    <w:name w:val="ListLabel 120"/>
    <w:qFormat/>
    <w:rPr>
      <w:rFonts w:ascii="Times New Roman" w:hAnsi="Times New Roman" w:cs="Symbol"/>
      <w:sz w:val="24"/>
    </w:rPr>
  </w:style>
  <w:style w:type="character" w:customStyle="1" w:styleId="ListLabel121">
    <w:name w:val="ListLabel 121"/>
    <w:qFormat/>
    <w:rPr>
      <w:rFonts w:cs="Courier New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Symbol"/>
      <w:sz w:val="20"/>
    </w:rPr>
  </w:style>
  <w:style w:type="character" w:customStyle="1" w:styleId="ListLabel139">
    <w:name w:val="ListLabel 139"/>
    <w:qFormat/>
    <w:rPr>
      <w:rFonts w:cs="Courier New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Symbol"/>
      <w:sz w:val="20"/>
    </w:rPr>
  </w:style>
  <w:style w:type="character" w:customStyle="1" w:styleId="ListLabel148">
    <w:name w:val="ListLabel 148"/>
    <w:qFormat/>
    <w:rPr>
      <w:rFonts w:cs="Courier New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Symbol"/>
      <w:sz w:val="20"/>
    </w:rPr>
  </w:style>
  <w:style w:type="character" w:customStyle="1" w:styleId="ListLabel157">
    <w:name w:val="ListLabel 157"/>
    <w:qFormat/>
    <w:rPr>
      <w:rFonts w:cs="Courier New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Symbol"/>
      <w:sz w:val="20"/>
    </w:rPr>
  </w:style>
  <w:style w:type="character" w:customStyle="1" w:styleId="ListLabel166">
    <w:name w:val="ListLabel 166"/>
    <w:qFormat/>
    <w:rPr>
      <w:rFonts w:cs="Courier New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Symbol"/>
      <w:sz w:val="20"/>
    </w:rPr>
  </w:style>
  <w:style w:type="character" w:customStyle="1" w:styleId="ListLabel175">
    <w:name w:val="ListLabel 175"/>
    <w:qFormat/>
    <w:rPr>
      <w:rFonts w:cs="Courier New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Wingdings"/>
      <w:sz w:val="20"/>
    </w:rPr>
  </w:style>
  <w:style w:type="character" w:customStyle="1" w:styleId="ListLabel183">
    <w:name w:val="ListLabel 183"/>
    <w:qFormat/>
    <w:rPr>
      <w:rFonts w:ascii="Times New Roman" w:eastAsia="Times New Roman" w:hAnsi="Times New Roman" w:cs="Times New Roman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D2000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200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D200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D200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CD6D76"/>
    <w:pPr>
      <w:ind w:left="720"/>
      <w:contextualSpacing/>
    </w:pPr>
  </w:style>
  <w:style w:type="paragraph" w:customStyle="1" w:styleId="ui-pdp-listtext">
    <w:name w:val="ui-pdp-list__text"/>
    <w:basedOn w:val="Normal"/>
    <w:qFormat/>
    <w:rsid w:val="00CA13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link w:val="Ttulo1Char"/>
    <w:uiPriority w:val="9"/>
    <w:qFormat/>
    <w:rsid w:val="00CD6D7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2C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0A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D2000"/>
  </w:style>
  <w:style w:type="character" w:customStyle="1" w:styleId="RodapChar">
    <w:name w:val="Rodapé Char"/>
    <w:basedOn w:val="Fontepargpadro"/>
    <w:link w:val="Rodap"/>
    <w:uiPriority w:val="99"/>
    <w:qFormat/>
    <w:rsid w:val="00AD2000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D2000"/>
    <w:rPr>
      <w:rFonts w:ascii="Tahoma" w:eastAsia="Times New Roman" w:hAnsi="Tahoma" w:cs="Tahoma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6E26F7"/>
    <w:rPr>
      <w:b/>
      <w:bCs/>
    </w:rPr>
  </w:style>
  <w:style w:type="character" w:customStyle="1" w:styleId="acc-detailed-desc">
    <w:name w:val="acc-detailed-desc"/>
    <w:basedOn w:val="Fontepargpadro"/>
    <w:qFormat/>
    <w:rsid w:val="006E26F7"/>
  </w:style>
  <w:style w:type="character" w:customStyle="1" w:styleId="Ttulo1Char">
    <w:name w:val="Título 1 Char"/>
    <w:basedOn w:val="Fontepargpadro"/>
    <w:link w:val="Ttulo1"/>
    <w:uiPriority w:val="9"/>
    <w:qFormat/>
    <w:rsid w:val="00CD6D76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91247"/>
    <w:rPr>
      <w:color w:val="0000FF"/>
      <w:u w:val="single"/>
    </w:rPr>
  </w:style>
  <w:style w:type="character" w:customStyle="1" w:styleId="andes-tablecolumn--value">
    <w:name w:val="andes-table__column--value"/>
    <w:basedOn w:val="Fontepargpadro"/>
    <w:qFormat/>
    <w:rsid w:val="00F43FBA"/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D42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ui-sc-12tokcy-0">
    <w:name w:val="textui-sc-12tokcy-0"/>
    <w:basedOn w:val="Fontepargpadro"/>
    <w:qFormat/>
    <w:rsid w:val="004926AC"/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840A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i-pdp-color--black">
    <w:name w:val="ui-pdp-color--black"/>
    <w:basedOn w:val="Fontepargpadro"/>
    <w:qFormat/>
    <w:rsid w:val="00CA13F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16"/>
      <w:szCs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16"/>
      <w:szCs w:val="16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16"/>
      <w:szCs w:val="16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16"/>
      <w:szCs w:val="16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sz w:val="16"/>
      <w:szCs w:val="16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sz w:val="16"/>
      <w:szCs w:val="16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sz w:val="16"/>
      <w:szCs w:val="16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16"/>
      <w:szCs w:val="16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sz w:val="16"/>
      <w:szCs w:val="16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16"/>
      <w:szCs w:val="16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rFonts w:ascii="Times New Roman" w:hAnsi="Times New Roman"/>
      <w:sz w:val="24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rFonts w:ascii="Times New Roman" w:hAnsi="Times New Roman"/>
      <w:sz w:val="24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rFonts w:ascii="Times New Roman" w:eastAsia="Times New Roman" w:hAnsi="Times New Roman" w:cs="Times New Roman"/>
      <w:lang w:eastAsia="zh-CN"/>
    </w:rPr>
  </w:style>
  <w:style w:type="character" w:customStyle="1" w:styleId="ListLabel120">
    <w:name w:val="ListLabel 120"/>
    <w:qFormat/>
    <w:rPr>
      <w:rFonts w:ascii="Times New Roman" w:hAnsi="Times New Roman" w:cs="Symbol"/>
      <w:sz w:val="24"/>
    </w:rPr>
  </w:style>
  <w:style w:type="character" w:customStyle="1" w:styleId="ListLabel121">
    <w:name w:val="ListLabel 121"/>
    <w:qFormat/>
    <w:rPr>
      <w:rFonts w:cs="Courier New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Symbol"/>
      <w:sz w:val="20"/>
    </w:rPr>
  </w:style>
  <w:style w:type="character" w:customStyle="1" w:styleId="ListLabel139">
    <w:name w:val="ListLabel 139"/>
    <w:qFormat/>
    <w:rPr>
      <w:rFonts w:cs="Courier New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Symbol"/>
      <w:sz w:val="20"/>
    </w:rPr>
  </w:style>
  <w:style w:type="character" w:customStyle="1" w:styleId="ListLabel148">
    <w:name w:val="ListLabel 148"/>
    <w:qFormat/>
    <w:rPr>
      <w:rFonts w:cs="Courier New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Symbol"/>
      <w:sz w:val="20"/>
    </w:rPr>
  </w:style>
  <w:style w:type="character" w:customStyle="1" w:styleId="ListLabel157">
    <w:name w:val="ListLabel 157"/>
    <w:qFormat/>
    <w:rPr>
      <w:rFonts w:cs="Courier New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Symbol"/>
      <w:sz w:val="20"/>
    </w:rPr>
  </w:style>
  <w:style w:type="character" w:customStyle="1" w:styleId="ListLabel166">
    <w:name w:val="ListLabel 166"/>
    <w:qFormat/>
    <w:rPr>
      <w:rFonts w:cs="Courier New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Symbol"/>
      <w:sz w:val="20"/>
    </w:rPr>
  </w:style>
  <w:style w:type="character" w:customStyle="1" w:styleId="ListLabel175">
    <w:name w:val="ListLabel 175"/>
    <w:qFormat/>
    <w:rPr>
      <w:rFonts w:cs="Courier New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Wingdings"/>
      <w:sz w:val="20"/>
    </w:rPr>
  </w:style>
  <w:style w:type="character" w:customStyle="1" w:styleId="ListLabel183">
    <w:name w:val="ListLabel 183"/>
    <w:qFormat/>
    <w:rPr>
      <w:rFonts w:ascii="Times New Roman" w:eastAsia="Times New Roman" w:hAnsi="Times New Roman" w:cs="Times New Roman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AD2000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200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D2000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D200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CD6D76"/>
    <w:pPr>
      <w:ind w:left="720"/>
      <w:contextualSpacing/>
    </w:pPr>
  </w:style>
  <w:style w:type="paragraph" w:customStyle="1" w:styleId="ui-pdp-listtext">
    <w:name w:val="ui-pdp-list__text"/>
    <w:basedOn w:val="Normal"/>
    <w:qFormat/>
    <w:rsid w:val="00CA13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dmartins@camaradomingosmartins.es.gov.br" TargetMode="External"/><Relationship Id="rId2" Type="http://schemas.openxmlformats.org/officeDocument/2006/relationships/hyperlink" Target="http://www.camaradomingosmartins.es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17</Pages>
  <Words>4404</Words>
  <Characters>23784</Characters>
  <Application>Microsoft Office Word</Application>
  <DocSecurity>0</DocSecurity>
  <Lines>198</Lines>
  <Paragraphs>56</Paragraphs>
  <ScaleCrop>false</ScaleCrop>
  <Company/>
  <LinksUpToDate>false</LinksUpToDate>
  <CharactersWithSpaces>28132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</dc:creator>
  <dc:description/>
  <cp:lastModifiedBy>SEGA</cp:lastModifiedBy>
  <cp:revision>47</cp:revision>
  <cp:lastPrinted>2020-10-06T17:55:00Z</cp:lastPrinted>
  <dcterms:created xsi:type="dcterms:W3CDTF">2020-04-27T15:20:00Z</dcterms:created>
  <dcterms:modified xsi:type="dcterms:W3CDTF">2020-10-06T17:57:00Z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